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44A8" w:rsidRPr="000C0651" w:rsidRDefault="00D344A8" w:rsidP="000C0651">
      <w:pPr>
        <w:spacing w:after="0" w:line="276" w:lineRule="auto"/>
        <w:jc w:val="both"/>
        <w:rPr>
          <w:rFonts w:ascii="Century Gothic" w:eastAsia="Times New Roman" w:hAnsi="Century Gothic" w:cs="Arial"/>
          <w:b/>
          <w:bCs/>
          <w:sz w:val="24"/>
          <w:szCs w:val="24"/>
          <w:shd w:val="clear" w:color="auto" w:fill="FFFFFF"/>
          <w:lang w:eastAsia="es-MX"/>
        </w:rPr>
      </w:pPr>
      <w:r w:rsidRPr="000C0651">
        <w:rPr>
          <w:rFonts w:ascii="Century Gothic" w:eastAsia="Times New Roman" w:hAnsi="Century Gothic" w:cs="Arial"/>
          <w:b/>
          <w:bCs/>
          <w:sz w:val="24"/>
          <w:szCs w:val="24"/>
          <w:shd w:val="clear" w:color="auto" w:fill="FFFFFF"/>
          <w:lang w:eastAsia="es-MX"/>
        </w:rPr>
        <w:t xml:space="preserve">ALIMENTACIÓN Y RENDIMIENTO ESCOLAR </w:t>
      </w:r>
    </w:p>
    <w:p w:rsidR="00D344A8" w:rsidRPr="000C0651" w:rsidRDefault="00D344A8" w:rsidP="000C0651">
      <w:pPr>
        <w:spacing w:after="0" w:line="276" w:lineRule="auto"/>
        <w:jc w:val="both"/>
        <w:rPr>
          <w:rFonts w:ascii="Century Gothic" w:eastAsia="Times New Roman" w:hAnsi="Century Gothic" w:cs="Arial"/>
          <w:b/>
          <w:bCs/>
          <w:sz w:val="24"/>
          <w:szCs w:val="24"/>
          <w:shd w:val="clear" w:color="auto" w:fill="FFFFFF"/>
          <w:lang w:eastAsia="es-MX"/>
        </w:rPr>
      </w:pPr>
    </w:p>
    <w:p w:rsidR="00D344A8" w:rsidRPr="000C0651" w:rsidRDefault="00D344A8" w:rsidP="000C0651">
      <w:pPr>
        <w:spacing w:after="0" w:line="276" w:lineRule="auto"/>
        <w:jc w:val="both"/>
        <w:rPr>
          <w:rFonts w:ascii="Century Gothic" w:eastAsia="Times New Roman" w:hAnsi="Century Gothic" w:cs="Times New Roman"/>
          <w:sz w:val="24"/>
          <w:szCs w:val="24"/>
          <w:lang w:eastAsia="es-MX"/>
        </w:rPr>
      </w:pPr>
      <w:r w:rsidRPr="000C0651">
        <w:rPr>
          <w:rFonts w:ascii="Century Gothic" w:eastAsia="Times New Roman" w:hAnsi="Century Gothic" w:cs="Arial"/>
          <w:b/>
          <w:bCs/>
          <w:sz w:val="24"/>
          <w:szCs w:val="24"/>
          <w:shd w:val="clear" w:color="auto" w:fill="FFFFFF"/>
          <w:lang w:eastAsia="es-MX"/>
        </w:rPr>
        <w:t>Referentes sobre la alimentación escolar y el rendimiento académico</w:t>
      </w:r>
    </w:p>
    <w:p w:rsidR="000C0651" w:rsidRDefault="000C0651" w:rsidP="000C0651">
      <w:pPr>
        <w:shd w:val="clear" w:color="auto" w:fill="FFFFFF"/>
        <w:spacing w:after="150" w:line="276" w:lineRule="auto"/>
        <w:jc w:val="both"/>
        <w:rPr>
          <w:rFonts w:ascii="Century Gothic" w:eastAsia="Times New Roman" w:hAnsi="Century Gothic" w:cs="Arial"/>
          <w:sz w:val="24"/>
          <w:szCs w:val="24"/>
          <w:lang w:eastAsia="es-MX"/>
        </w:rPr>
      </w:pPr>
    </w:p>
    <w:p w:rsidR="00D344A8" w:rsidRPr="000C0651" w:rsidRDefault="00D344A8" w:rsidP="000C0651">
      <w:pPr>
        <w:shd w:val="clear" w:color="auto" w:fill="FFFFFF"/>
        <w:spacing w:after="150" w:line="276" w:lineRule="auto"/>
        <w:jc w:val="both"/>
        <w:rPr>
          <w:rFonts w:ascii="Century Gothic" w:eastAsia="Times New Roman" w:hAnsi="Century Gothic" w:cs="Arial"/>
          <w:sz w:val="24"/>
          <w:szCs w:val="24"/>
          <w:lang w:eastAsia="es-MX"/>
        </w:rPr>
      </w:pPr>
      <w:r w:rsidRPr="000C0651">
        <w:rPr>
          <w:rFonts w:ascii="Century Gothic" w:eastAsia="Times New Roman" w:hAnsi="Century Gothic" w:cs="Arial"/>
          <w:sz w:val="24"/>
          <w:szCs w:val="24"/>
          <w:lang w:eastAsia="es-MX"/>
        </w:rPr>
        <w:t>Cuando los alumnos están bien alimentados, su capacidad de concentración y de aprendizaje aumenta drásticamente.</w:t>
      </w:r>
    </w:p>
    <w:p w:rsidR="00D344A8" w:rsidRPr="000C0651" w:rsidRDefault="00D344A8" w:rsidP="000C0651">
      <w:pPr>
        <w:shd w:val="clear" w:color="auto" w:fill="FFFFFF"/>
        <w:spacing w:after="150" w:line="276" w:lineRule="auto"/>
        <w:jc w:val="both"/>
        <w:rPr>
          <w:rFonts w:ascii="Century Gothic" w:eastAsia="Times New Roman" w:hAnsi="Century Gothic" w:cs="Arial"/>
          <w:sz w:val="16"/>
          <w:szCs w:val="16"/>
          <w:lang w:eastAsia="es-MX"/>
        </w:rPr>
      </w:pPr>
      <w:r w:rsidRPr="000C0651">
        <w:rPr>
          <w:rFonts w:ascii="Century Gothic" w:eastAsia="Times New Roman" w:hAnsi="Century Gothic" w:cs="Arial"/>
          <w:b/>
          <w:bCs/>
          <w:sz w:val="16"/>
          <w:szCs w:val="16"/>
          <w:lang w:eastAsia="es-MX"/>
        </w:rPr>
        <w:t>Programa Mundial de Alimentos (PMA).</w:t>
      </w:r>
    </w:p>
    <w:p w:rsidR="000C0651" w:rsidRPr="000C0651" w:rsidRDefault="000C0651" w:rsidP="000C0651">
      <w:pPr>
        <w:shd w:val="clear" w:color="auto" w:fill="FFFFFF"/>
        <w:spacing w:after="150" w:line="276" w:lineRule="auto"/>
        <w:jc w:val="both"/>
        <w:rPr>
          <w:rFonts w:ascii="Century Gothic" w:eastAsia="Times New Roman" w:hAnsi="Century Gothic" w:cs="Arial"/>
          <w:sz w:val="24"/>
          <w:szCs w:val="24"/>
          <w:lang w:eastAsia="es-MX"/>
        </w:rPr>
      </w:pPr>
      <w:bookmarkStart w:id="0" w:name="_GoBack"/>
      <w:bookmarkEnd w:id="0"/>
    </w:p>
    <w:p w:rsidR="00D344A8" w:rsidRPr="000C0651" w:rsidRDefault="00D344A8" w:rsidP="000C0651">
      <w:pPr>
        <w:shd w:val="clear" w:color="auto" w:fill="FFFFFF"/>
        <w:spacing w:after="150" w:line="276" w:lineRule="auto"/>
        <w:jc w:val="both"/>
        <w:rPr>
          <w:rFonts w:ascii="Century Gothic" w:eastAsia="Times New Roman" w:hAnsi="Century Gothic" w:cs="Arial"/>
          <w:sz w:val="24"/>
          <w:szCs w:val="24"/>
          <w:lang w:eastAsia="es-MX"/>
        </w:rPr>
      </w:pPr>
      <w:r w:rsidRPr="000C0651">
        <w:rPr>
          <w:rFonts w:ascii="Century Gothic" w:eastAsia="Times New Roman" w:hAnsi="Century Gothic" w:cs="Arial"/>
          <w:sz w:val="24"/>
          <w:szCs w:val="24"/>
          <w:lang w:eastAsia="es-MX"/>
        </w:rPr>
        <w:t>La desnutrición afecta al desempeño escolar a causa del déficit que generan las enfermedades asociadas, y debido a las limitaciones en la capacidad de aprendizaje vinculadas a un menor desarrollo cognitivo.</w:t>
      </w:r>
    </w:p>
    <w:p w:rsidR="00D344A8" w:rsidRPr="000C0651" w:rsidRDefault="00D344A8" w:rsidP="000C0651">
      <w:pPr>
        <w:shd w:val="clear" w:color="auto" w:fill="FFFFFF"/>
        <w:spacing w:after="150" w:line="276" w:lineRule="auto"/>
        <w:jc w:val="both"/>
        <w:rPr>
          <w:rFonts w:ascii="Century Gothic" w:eastAsia="Times New Roman" w:hAnsi="Century Gothic" w:cs="Arial"/>
          <w:sz w:val="24"/>
          <w:szCs w:val="24"/>
          <w:lang w:eastAsia="es-MX"/>
        </w:rPr>
      </w:pPr>
      <w:r w:rsidRPr="000C0651">
        <w:rPr>
          <w:rFonts w:ascii="Century Gothic" w:eastAsia="Times New Roman" w:hAnsi="Century Gothic" w:cs="Arial"/>
          <w:sz w:val="24"/>
          <w:szCs w:val="24"/>
          <w:lang w:eastAsia="es-MX"/>
        </w:rPr>
        <w:t>La mayor probabilidad de enfermar hace que los niños y niñas desnutridos presenten una in-corporación tardía al sistema educativo y mayor ausentismo escolar, con lo que aumenta su probabilidad de repetición y deserción.</w:t>
      </w:r>
    </w:p>
    <w:p w:rsidR="00D344A8" w:rsidRPr="000C0651" w:rsidRDefault="00D344A8" w:rsidP="000C0651">
      <w:pPr>
        <w:shd w:val="clear" w:color="auto" w:fill="FFFFFF"/>
        <w:spacing w:after="150" w:line="276" w:lineRule="auto"/>
        <w:jc w:val="both"/>
        <w:rPr>
          <w:rFonts w:ascii="Century Gothic" w:eastAsia="Times New Roman" w:hAnsi="Century Gothic" w:cs="Arial"/>
          <w:sz w:val="16"/>
          <w:szCs w:val="16"/>
          <w:lang w:eastAsia="es-MX"/>
        </w:rPr>
      </w:pPr>
      <w:r w:rsidRPr="000C0651">
        <w:rPr>
          <w:rFonts w:ascii="Century Gothic" w:eastAsia="Times New Roman" w:hAnsi="Century Gothic" w:cs="Arial"/>
          <w:b/>
          <w:bCs/>
          <w:sz w:val="16"/>
          <w:szCs w:val="16"/>
          <w:lang w:eastAsia="es-MX"/>
        </w:rPr>
        <w:t>Desnutrición infantil en américa latina y el caribe. Desarrollo Social de la CEPAL/Programa Mundial de Alimentos.</w:t>
      </w:r>
    </w:p>
    <w:p w:rsidR="000C0651" w:rsidRPr="000C0651" w:rsidRDefault="000C0651" w:rsidP="000C0651">
      <w:pPr>
        <w:shd w:val="clear" w:color="auto" w:fill="FFFFFF"/>
        <w:spacing w:after="150" w:line="276" w:lineRule="auto"/>
        <w:jc w:val="both"/>
        <w:rPr>
          <w:rFonts w:ascii="Century Gothic" w:eastAsia="Times New Roman" w:hAnsi="Century Gothic" w:cs="Arial"/>
          <w:sz w:val="24"/>
          <w:szCs w:val="24"/>
          <w:lang w:eastAsia="es-MX"/>
        </w:rPr>
      </w:pPr>
    </w:p>
    <w:p w:rsidR="00D344A8" w:rsidRPr="000C0651" w:rsidRDefault="00D344A8" w:rsidP="000C0651">
      <w:pPr>
        <w:shd w:val="clear" w:color="auto" w:fill="FFFFFF"/>
        <w:spacing w:after="150" w:line="276" w:lineRule="auto"/>
        <w:jc w:val="both"/>
        <w:rPr>
          <w:rFonts w:ascii="Century Gothic" w:eastAsia="Times New Roman" w:hAnsi="Century Gothic" w:cs="Arial"/>
          <w:sz w:val="24"/>
          <w:szCs w:val="24"/>
          <w:lang w:eastAsia="es-MX"/>
        </w:rPr>
      </w:pPr>
      <w:r w:rsidRPr="000C0651">
        <w:rPr>
          <w:rFonts w:ascii="Century Gothic" w:eastAsia="Times New Roman" w:hAnsi="Century Gothic" w:cs="Arial"/>
          <w:sz w:val="24"/>
          <w:szCs w:val="24"/>
          <w:lang w:eastAsia="es-MX"/>
        </w:rPr>
        <w:t>El déficit de micronutrientes se traduce en un deterioro cognitivo que deriva en un menor aprendizaje.</w:t>
      </w:r>
    </w:p>
    <w:p w:rsidR="00D344A8" w:rsidRPr="000C0651" w:rsidRDefault="00D344A8" w:rsidP="000C0651">
      <w:pPr>
        <w:shd w:val="clear" w:color="auto" w:fill="FFFFFF"/>
        <w:spacing w:after="150" w:line="276" w:lineRule="auto"/>
        <w:jc w:val="both"/>
        <w:rPr>
          <w:rFonts w:ascii="Century Gothic" w:eastAsia="Times New Roman" w:hAnsi="Century Gothic" w:cs="Arial"/>
          <w:sz w:val="16"/>
          <w:szCs w:val="16"/>
          <w:lang w:eastAsia="es-MX"/>
        </w:rPr>
      </w:pPr>
      <w:r w:rsidRPr="000C0651">
        <w:rPr>
          <w:rFonts w:ascii="Century Gothic" w:eastAsia="Times New Roman" w:hAnsi="Century Gothic" w:cs="Arial"/>
          <w:b/>
          <w:bCs/>
          <w:sz w:val="16"/>
          <w:szCs w:val="16"/>
          <w:lang w:eastAsia="es-MX"/>
        </w:rPr>
        <w:t>Insti</w:t>
      </w:r>
      <w:r w:rsidR="000C0651">
        <w:rPr>
          <w:rFonts w:ascii="Century Gothic" w:eastAsia="Times New Roman" w:hAnsi="Century Gothic" w:cs="Arial"/>
          <w:b/>
          <w:bCs/>
          <w:sz w:val="16"/>
          <w:szCs w:val="16"/>
          <w:lang w:eastAsia="es-MX"/>
        </w:rPr>
        <w:t xml:space="preserve">tuto Nacional de Salud Pública. </w:t>
      </w:r>
      <w:r w:rsidRPr="000C0651">
        <w:rPr>
          <w:rFonts w:ascii="Century Gothic" w:eastAsia="Times New Roman" w:hAnsi="Century Gothic" w:cs="Arial"/>
          <w:b/>
          <w:bCs/>
          <w:sz w:val="16"/>
          <w:szCs w:val="16"/>
          <w:lang w:eastAsia="es-MX"/>
        </w:rPr>
        <w:t>Encuesta Nacional de Salud y Nutrición 2012. México, 2012</w:t>
      </w:r>
    </w:p>
    <w:p w:rsidR="000C0651" w:rsidRPr="000C0651" w:rsidRDefault="000C0651" w:rsidP="000C0651">
      <w:pPr>
        <w:shd w:val="clear" w:color="auto" w:fill="FFFFFF"/>
        <w:spacing w:after="150" w:line="276" w:lineRule="auto"/>
        <w:jc w:val="both"/>
        <w:rPr>
          <w:rFonts w:ascii="Century Gothic" w:eastAsia="Times New Roman" w:hAnsi="Century Gothic" w:cs="Arial"/>
          <w:sz w:val="24"/>
          <w:szCs w:val="24"/>
          <w:lang w:eastAsia="es-MX"/>
        </w:rPr>
      </w:pPr>
    </w:p>
    <w:p w:rsidR="00D344A8" w:rsidRPr="000C0651" w:rsidRDefault="00D344A8" w:rsidP="000C0651">
      <w:pPr>
        <w:shd w:val="clear" w:color="auto" w:fill="FFFFFF"/>
        <w:spacing w:after="150" w:line="276" w:lineRule="auto"/>
        <w:jc w:val="both"/>
        <w:rPr>
          <w:rFonts w:ascii="Century Gothic" w:eastAsia="Times New Roman" w:hAnsi="Century Gothic" w:cs="Arial"/>
          <w:sz w:val="24"/>
          <w:szCs w:val="24"/>
          <w:lang w:eastAsia="es-MX"/>
        </w:rPr>
      </w:pPr>
      <w:r w:rsidRPr="000C0651">
        <w:rPr>
          <w:rFonts w:ascii="Century Gothic" w:eastAsia="Times New Roman" w:hAnsi="Century Gothic" w:cs="Arial"/>
          <w:sz w:val="24"/>
          <w:szCs w:val="24"/>
          <w:lang w:eastAsia="es-MX"/>
        </w:rPr>
        <w:t>Los problemas de salud que actualmente enfrentan las alumnas y alumnos de las escuelas del Sistema Educativo Nacional, en parte se propician por la falta de consumo de alimentos y bebidas cuyos nutrimentos sean los adecuados para generar un desarrollo integral, el logro de mejores aprendizajes y la permanencia en las escuelas;</w:t>
      </w:r>
    </w:p>
    <w:p w:rsidR="00D344A8" w:rsidRPr="000C0651" w:rsidRDefault="00D344A8" w:rsidP="000C0651">
      <w:pPr>
        <w:shd w:val="clear" w:color="auto" w:fill="FFFFFF"/>
        <w:spacing w:after="150" w:line="276" w:lineRule="auto"/>
        <w:jc w:val="both"/>
        <w:rPr>
          <w:rFonts w:ascii="Century Gothic" w:eastAsia="Times New Roman" w:hAnsi="Century Gothic" w:cs="Arial"/>
          <w:sz w:val="24"/>
          <w:szCs w:val="24"/>
          <w:lang w:eastAsia="es-MX"/>
        </w:rPr>
      </w:pPr>
      <w:r w:rsidRPr="000C0651">
        <w:rPr>
          <w:rFonts w:ascii="Century Gothic" w:eastAsia="Times New Roman" w:hAnsi="Century Gothic" w:cs="Arial"/>
          <w:sz w:val="24"/>
          <w:szCs w:val="24"/>
          <w:lang w:eastAsia="es-MX"/>
        </w:rPr>
        <w:t>Las escuelas del Sistema Educativo Nacional deben promover una alimentación escolar correcta entre las alumnas y alumnos, que frene su rezago escolar y los beneficie en su salud, aprovechamiento y rendimiento escolar, y que logre condiciones de estabilidad en la matrícula, aumento en la asistencia y continuidad durante la jornada escolar y en el tramo educativo en el que se encuentren inscritos;</w:t>
      </w:r>
    </w:p>
    <w:p w:rsidR="00D344A8" w:rsidRPr="000C0651" w:rsidRDefault="00D344A8" w:rsidP="000C0651">
      <w:pPr>
        <w:shd w:val="clear" w:color="auto" w:fill="FFFFFF"/>
        <w:spacing w:after="150" w:line="276" w:lineRule="auto"/>
        <w:jc w:val="both"/>
        <w:rPr>
          <w:rFonts w:ascii="Century Gothic" w:eastAsia="Times New Roman" w:hAnsi="Century Gothic" w:cs="Arial"/>
          <w:sz w:val="24"/>
          <w:szCs w:val="24"/>
          <w:lang w:eastAsia="es-MX"/>
        </w:rPr>
      </w:pPr>
      <w:r w:rsidRPr="000C0651">
        <w:rPr>
          <w:rFonts w:ascii="Century Gothic" w:eastAsia="Times New Roman" w:hAnsi="Century Gothic" w:cs="Arial"/>
          <w:sz w:val="24"/>
          <w:szCs w:val="24"/>
          <w:lang w:eastAsia="es-MX"/>
        </w:rPr>
        <w:lastRenderedPageBreak/>
        <w:t>La preparación, expendio y distribución de alimentos y bebidas preparados y procesados dentro de las escuelas del Sistema Educativo Nacional, deben ser acordes a una alimentación correcta, con higiene y seguridad, y con los nutrimentos necesarios y el aporte calórico adecuado a la edad y condición de vida de las alumnas y alumnos.</w:t>
      </w:r>
    </w:p>
    <w:p w:rsidR="00D344A8" w:rsidRPr="000C0651" w:rsidRDefault="00D344A8" w:rsidP="000C0651">
      <w:pPr>
        <w:shd w:val="clear" w:color="auto" w:fill="FFFFFF"/>
        <w:spacing w:after="150" w:line="276" w:lineRule="auto"/>
        <w:jc w:val="both"/>
        <w:rPr>
          <w:rFonts w:ascii="Century Gothic" w:eastAsia="Times New Roman" w:hAnsi="Century Gothic" w:cs="Arial"/>
          <w:sz w:val="16"/>
          <w:szCs w:val="16"/>
          <w:lang w:eastAsia="es-MX"/>
        </w:rPr>
      </w:pPr>
      <w:r w:rsidRPr="000C0651">
        <w:rPr>
          <w:rFonts w:ascii="Century Gothic" w:eastAsia="Times New Roman" w:hAnsi="Century Gothic" w:cs="Arial"/>
          <w:b/>
          <w:bCs/>
          <w:sz w:val="16"/>
          <w:szCs w:val="16"/>
          <w:lang w:eastAsia="es-MX"/>
        </w:rPr>
        <w:t>Viernes 16 de mayo de 2014 DIARIO OFICIAL (Primera Sección).</w:t>
      </w:r>
    </w:p>
    <w:p w:rsidR="00C61E61" w:rsidRDefault="00C61E61" w:rsidP="000C0651">
      <w:pPr>
        <w:spacing w:line="276" w:lineRule="auto"/>
        <w:jc w:val="both"/>
      </w:pPr>
    </w:p>
    <w:sectPr w:rsidR="00C61E6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4A8"/>
    <w:rsid w:val="000C0651"/>
    <w:rsid w:val="00B4307A"/>
    <w:rsid w:val="00C61E61"/>
    <w:rsid w:val="00D34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99459F"/>
  <w15:chartTrackingRefBased/>
  <w15:docId w15:val="{287CFB70-DB13-4AEB-B861-21C3D40C4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774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326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Maricela Jauregui Sanchez</dc:creator>
  <cp:keywords/>
  <dc:description/>
  <cp:lastModifiedBy>Maricela Jauregui Sanchez</cp:lastModifiedBy>
  <cp:revision>2</cp:revision>
  <dcterms:created xsi:type="dcterms:W3CDTF">2019-11-19T19:14:00Z</dcterms:created>
  <dcterms:modified xsi:type="dcterms:W3CDTF">2019-11-19T20:03:00Z</dcterms:modified>
</cp:coreProperties>
</file>